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06F6" w14:textId="68533482" w:rsidR="006C5458" w:rsidRDefault="00066C14" w:rsidP="006C5458">
      <w:pPr>
        <w:jc w:val="center"/>
        <w:rPr>
          <w:b/>
          <w:bCs/>
        </w:rPr>
      </w:pPr>
      <w:r>
        <w:rPr>
          <w:b/>
          <w:bCs/>
        </w:rPr>
        <w:t xml:space="preserve">OCJ Criminal Proceedings - </w:t>
      </w:r>
      <w:r w:rsidR="001570B5">
        <w:rPr>
          <w:b/>
          <w:bCs/>
        </w:rPr>
        <w:t xml:space="preserve">Interim </w:t>
      </w:r>
      <w:r w:rsidR="006C5458" w:rsidRPr="006C5458">
        <w:rPr>
          <w:b/>
          <w:bCs/>
        </w:rPr>
        <w:t>Mode of Appearances</w:t>
      </w:r>
      <w:r w:rsidR="00185681">
        <w:rPr>
          <w:b/>
          <w:bCs/>
        </w:rPr>
        <w:t>*</w:t>
      </w:r>
      <w:r w:rsidR="00AC67FD">
        <w:rPr>
          <w:b/>
          <w:bCs/>
        </w:rPr>
        <w:t xml:space="preserve"> as of April 4, 2022</w:t>
      </w:r>
    </w:p>
    <w:p w14:paraId="498313A9" w14:textId="183D9A52" w:rsidR="0045124F" w:rsidRPr="001236D5" w:rsidRDefault="00185681" w:rsidP="0045124F">
      <w:pPr>
        <w:rPr>
          <w:i/>
          <w:iCs/>
          <w:sz w:val="22"/>
          <w:szCs w:val="20"/>
        </w:rPr>
      </w:pPr>
      <w:r w:rsidRPr="001236D5">
        <w:rPr>
          <w:i/>
          <w:iCs/>
          <w:sz w:val="22"/>
          <w:szCs w:val="20"/>
        </w:rPr>
        <w:t>*</w:t>
      </w:r>
      <w:r w:rsidR="0045124F" w:rsidRPr="001236D5">
        <w:rPr>
          <w:i/>
          <w:iCs/>
          <w:sz w:val="22"/>
          <w:szCs w:val="20"/>
        </w:rPr>
        <w:t xml:space="preserve">Note:  </w:t>
      </w:r>
      <w:r w:rsidR="00AA5F36">
        <w:rPr>
          <w:i/>
          <w:iCs/>
          <w:sz w:val="22"/>
          <w:szCs w:val="20"/>
        </w:rPr>
        <w:t>The m</w:t>
      </w:r>
      <w:r w:rsidR="0045124F" w:rsidRPr="001236D5">
        <w:rPr>
          <w:i/>
          <w:iCs/>
          <w:sz w:val="22"/>
          <w:szCs w:val="20"/>
        </w:rPr>
        <w:t xml:space="preserve">ode of appearance is subject to </w:t>
      </w:r>
      <w:r w:rsidR="008B41D2" w:rsidRPr="001236D5">
        <w:rPr>
          <w:i/>
          <w:iCs/>
          <w:sz w:val="22"/>
          <w:szCs w:val="20"/>
        </w:rPr>
        <w:t xml:space="preserve">direction by the </w:t>
      </w:r>
      <w:r w:rsidR="001236D5" w:rsidRPr="001236D5">
        <w:rPr>
          <w:i/>
          <w:iCs/>
          <w:sz w:val="22"/>
          <w:szCs w:val="20"/>
        </w:rPr>
        <w:t xml:space="preserve">presiding </w:t>
      </w:r>
      <w:r w:rsidR="008B41D2" w:rsidRPr="001236D5">
        <w:rPr>
          <w:i/>
          <w:iCs/>
          <w:sz w:val="22"/>
          <w:szCs w:val="20"/>
        </w:rPr>
        <w:t>judicial officer</w:t>
      </w:r>
      <w:r w:rsidR="001236D5" w:rsidRPr="001236D5">
        <w:rPr>
          <w:i/>
          <w:iCs/>
          <w:sz w:val="22"/>
          <w:szCs w:val="20"/>
        </w:rPr>
        <w:t xml:space="preserve"> and/or RSJ or RSJP</w:t>
      </w:r>
    </w:p>
    <w:tbl>
      <w:tblPr>
        <w:tblStyle w:val="TableGrid"/>
        <w:tblW w:w="13892" w:type="dxa"/>
        <w:tblInd w:w="-601" w:type="dxa"/>
        <w:tblLook w:val="04A0" w:firstRow="1" w:lastRow="0" w:firstColumn="1" w:lastColumn="0" w:noHBand="0" w:noVBand="1"/>
      </w:tblPr>
      <w:tblGrid>
        <w:gridCol w:w="3119"/>
        <w:gridCol w:w="10773"/>
      </w:tblGrid>
      <w:tr w:rsidR="00831E76" w:rsidRPr="00BD2338" w14:paraId="22288C3A" w14:textId="77777777" w:rsidTr="00831E76">
        <w:trPr>
          <w:cantSplit/>
          <w:tblHeader/>
        </w:trPr>
        <w:tc>
          <w:tcPr>
            <w:tcW w:w="3119" w:type="dxa"/>
            <w:tcBorders>
              <w:bottom w:val="nil"/>
            </w:tcBorders>
            <w:shd w:val="clear" w:color="auto" w:fill="DDDDDD" w:themeFill="accent1"/>
          </w:tcPr>
          <w:p w14:paraId="7F08F182" w14:textId="0E56285F" w:rsidR="00831E76" w:rsidRPr="00185681" w:rsidRDefault="00831E76" w:rsidP="00E457CE">
            <w:pPr>
              <w:keepNext/>
              <w:keepLines/>
              <w:spacing w:before="80" w:after="80"/>
              <w:rPr>
                <w:rFonts w:ascii="Arial Narrow" w:hAnsi="Arial Narrow"/>
                <w:b/>
                <w:bCs/>
                <w:sz w:val="22"/>
                <w:lang w:val="en-US"/>
              </w:rPr>
            </w:pPr>
            <w:r w:rsidRPr="00185681">
              <w:rPr>
                <w:rFonts w:ascii="Arial Narrow" w:hAnsi="Arial Narrow"/>
                <w:b/>
                <w:bCs/>
                <w:sz w:val="22"/>
                <w:lang w:val="en-US"/>
              </w:rPr>
              <w:t>Proceeding</w:t>
            </w:r>
          </w:p>
        </w:tc>
        <w:tc>
          <w:tcPr>
            <w:tcW w:w="10773" w:type="dxa"/>
            <w:tcBorders>
              <w:bottom w:val="nil"/>
            </w:tcBorders>
            <w:shd w:val="clear" w:color="auto" w:fill="DDDDDD" w:themeFill="accent1"/>
          </w:tcPr>
          <w:p w14:paraId="15261399" w14:textId="77486062" w:rsidR="00831E76" w:rsidRPr="00185681" w:rsidRDefault="00127B68" w:rsidP="00E457CE">
            <w:pPr>
              <w:spacing w:before="80" w:after="80"/>
              <w:rPr>
                <w:rFonts w:ascii="Arial Narrow" w:hAnsi="Arial Narrow"/>
                <w:b/>
                <w:bCs/>
                <w:sz w:val="22"/>
                <w:lang w:val="en-US"/>
              </w:rPr>
            </w:pPr>
            <w:r w:rsidRPr="00185681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Mode of Appearance </w:t>
            </w:r>
            <w:r w:rsidR="00831E76" w:rsidRPr="00185681">
              <w:rPr>
                <w:rFonts w:ascii="Arial Narrow" w:hAnsi="Arial Narrow"/>
                <w:b/>
                <w:bCs/>
                <w:sz w:val="22"/>
                <w:lang w:val="en-US"/>
              </w:rPr>
              <w:t>(</w:t>
            </w:r>
            <w:r w:rsidRPr="00185681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as of </w:t>
            </w:r>
            <w:r w:rsidR="00831E76" w:rsidRPr="00185681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April </w:t>
            </w:r>
            <w:r w:rsidR="00B62EB2" w:rsidRPr="00185681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4, </w:t>
            </w:r>
            <w:r w:rsidR="00831E76" w:rsidRPr="00185681">
              <w:rPr>
                <w:rFonts w:ascii="Arial Narrow" w:hAnsi="Arial Narrow"/>
                <w:b/>
                <w:bCs/>
                <w:sz w:val="22"/>
                <w:lang w:val="en-US"/>
              </w:rPr>
              <w:t>2022)</w:t>
            </w:r>
          </w:p>
        </w:tc>
      </w:tr>
      <w:tr w:rsidR="00831E76" w:rsidRPr="00BD2338" w14:paraId="363B8C26" w14:textId="77777777" w:rsidTr="00831E76">
        <w:trPr>
          <w:cantSplit/>
        </w:trPr>
        <w:tc>
          <w:tcPr>
            <w:tcW w:w="3119" w:type="dxa"/>
            <w:tcBorders>
              <w:bottom w:val="nil"/>
            </w:tcBorders>
          </w:tcPr>
          <w:p w14:paraId="4F105FB9" w14:textId="77777777" w:rsidR="00831E76" w:rsidRPr="009654E3" w:rsidRDefault="00831E76" w:rsidP="00E457CE">
            <w:pPr>
              <w:keepNext/>
              <w:keepLines/>
              <w:spacing w:before="80" w:after="8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9654E3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Bail </w:t>
            </w:r>
          </w:p>
        </w:tc>
        <w:tc>
          <w:tcPr>
            <w:tcW w:w="10773" w:type="dxa"/>
            <w:tcBorders>
              <w:bottom w:val="nil"/>
            </w:tcBorders>
          </w:tcPr>
          <w:p w14:paraId="0FAAF187" w14:textId="0183C861" w:rsidR="00831E76" w:rsidRPr="009654E3" w:rsidRDefault="00831E76" w:rsidP="00E457CE">
            <w:pPr>
              <w:spacing w:before="80" w:after="80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831E76" w:rsidRPr="005E0F5F" w14:paraId="541EA26F" w14:textId="77777777" w:rsidTr="00831E76"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 w14:paraId="2837E40D" w14:textId="7EE46B90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>First appearances (from station; also WASH court)</w:t>
            </w:r>
          </w:p>
        </w:tc>
        <w:tc>
          <w:tcPr>
            <w:tcW w:w="10773" w:type="dxa"/>
            <w:tcBorders>
              <w:top w:val="nil"/>
              <w:bottom w:val="nil"/>
            </w:tcBorders>
          </w:tcPr>
          <w:p w14:paraId="03349F38" w14:textId="0E5605BF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>Accused</w:t>
            </w:r>
            <w:r w:rsidR="001B4527" w:rsidRPr="009654E3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A62FB9" w:rsidRPr="009654E3">
              <w:rPr>
                <w:rFonts w:ascii="Arial" w:hAnsi="Arial" w:cs="Arial"/>
                <w:sz w:val="22"/>
                <w:lang w:val="en-US"/>
              </w:rPr>
              <w:t>will a</w:t>
            </w:r>
            <w:r w:rsidR="00D531C6" w:rsidRPr="009654E3">
              <w:rPr>
                <w:rFonts w:ascii="Arial" w:hAnsi="Arial" w:cs="Arial"/>
                <w:sz w:val="22"/>
                <w:lang w:val="en-US"/>
              </w:rPr>
              <w:t xml:space="preserve">ppear by </w:t>
            </w: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 xml:space="preserve">video </w:t>
            </w:r>
            <w:r w:rsidR="0069543A" w:rsidRPr="009654E3">
              <w:rPr>
                <w:rFonts w:ascii="Arial" w:hAnsi="Arial" w:cs="Arial"/>
                <w:sz w:val="22"/>
                <w:u w:val="single"/>
                <w:lang w:val="en-US"/>
              </w:rPr>
              <w:t>or audio</w:t>
            </w:r>
            <w:r w:rsidR="0069543A" w:rsidRPr="009654E3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9654E3">
              <w:rPr>
                <w:rFonts w:ascii="Arial" w:hAnsi="Arial" w:cs="Arial"/>
                <w:sz w:val="22"/>
                <w:lang w:val="en-US"/>
              </w:rPr>
              <w:t>unless otherwise directed</w:t>
            </w:r>
            <w:r w:rsidR="00D14CA0" w:rsidRPr="009654E3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</w:tr>
      <w:tr w:rsidR="00831E76" w:rsidRPr="005E0F5F" w14:paraId="45BCBC19" w14:textId="77777777" w:rsidTr="00831E76"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 w14:paraId="257C5417" w14:textId="77777777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 xml:space="preserve">Bail hearings </w:t>
            </w:r>
          </w:p>
        </w:tc>
        <w:tc>
          <w:tcPr>
            <w:tcW w:w="10773" w:type="dxa"/>
            <w:tcBorders>
              <w:top w:val="nil"/>
              <w:bottom w:val="nil"/>
            </w:tcBorders>
          </w:tcPr>
          <w:p w14:paraId="4974F60E" w14:textId="1B32B477" w:rsidR="00066C14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 xml:space="preserve">For </w:t>
            </w: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 xml:space="preserve">contested </w:t>
            </w:r>
            <w:r w:rsidR="00D13C56" w:rsidRPr="009654E3">
              <w:rPr>
                <w:rFonts w:ascii="Arial" w:hAnsi="Arial" w:cs="Arial"/>
                <w:sz w:val="22"/>
                <w:u w:val="single"/>
                <w:lang w:val="en-US"/>
              </w:rPr>
              <w:t xml:space="preserve">bail </w:t>
            </w: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hearing</w:t>
            </w:r>
            <w:r w:rsidR="00D13C56" w:rsidRPr="009654E3">
              <w:rPr>
                <w:rFonts w:ascii="Arial" w:hAnsi="Arial" w:cs="Arial"/>
                <w:sz w:val="22"/>
                <w:u w:val="single"/>
                <w:lang w:val="en-US"/>
              </w:rPr>
              <w:t>s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:  Accused </w:t>
            </w:r>
            <w:r w:rsidR="00D531C6" w:rsidRPr="009654E3">
              <w:rPr>
                <w:rFonts w:ascii="Arial" w:hAnsi="Arial" w:cs="Arial"/>
                <w:sz w:val="22"/>
                <w:lang w:val="en-US"/>
              </w:rPr>
              <w:t xml:space="preserve">will appear </w:t>
            </w: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by video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unless otherwise directed</w:t>
            </w:r>
            <w:r w:rsidR="007E4137" w:rsidRPr="009654E3">
              <w:rPr>
                <w:rFonts w:ascii="Arial" w:hAnsi="Arial" w:cs="Arial"/>
                <w:sz w:val="22"/>
                <w:lang w:val="en-US"/>
              </w:rPr>
              <w:t xml:space="preserve">.  </w:t>
            </w:r>
          </w:p>
          <w:p w14:paraId="0C01723B" w14:textId="29E9E5F9" w:rsidR="00831E76" w:rsidRPr="009654E3" w:rsidRDefault="00066C14" w:rsidP="00E457CE">
            <w:pPr>
              <w:spacing w:before="80" w:after="80"/>
              <w:ind w:left="72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 xml:space="preserve">Note:  </w:t>
            </w:r>
            <w:r w:rsidR="000B799C" w:rsidRPr="009654E3">
              <w:rPr>
                <w:rFonts w:ascii="Arial" w:hAnsi="Arial" w:cs="Arial"/>
                <w:sz w:val="22"/>
              </w:rPr>
              <w:t xml:space="preserve">If </w:t>
            </w:r>
            <w:r w:rsidR="006C783E" w:rsidRPr="009654E3">
              <w:rPr>
                <w:rFonts w:ascii="Arial" w:hAnsi="Arial" w:cs="Arial"/>
                <w:sz w:val="22"/>
              </w:rPr>
              <w:t xml:space="preserve">video is not available in the </w:t>
            </w:r>
            <w:r w:rsidR="004D61FA" w:rsidRPr="009654E3">
              <w:rPr>
                <w:rFonts w:ascii="Arial" w:hAnsi="Arial" w:cs="Arial"/>
                <w:sz w:val="22"/>
              </w:rPr>
              <w:t>institution</w:t>
            </w:r>
            <w:r w:rsidR="000B799C" w:rsidRPr="009654E3">
              <w:rPr>
                <w:rFonts w:ascii="Arial" w:hAnsi="Arial" w:cs="Arial"/>
                <w:sz w:val="22"/>
              </w:rPr>
              <w:t xml:space="preserve"> to accommodate the hearing</w:t>
            </w:r>
            <w:r w:rsidR="006C783E" w:rsidRPr="009654E3">
              <w:rPr>
                <w:rFonts w:ascii="Arial" w:hAnsi="Arial" w:cs="Arial"/>
                <w:sz w:val="22"/>
              </w:rPr>
              <w:t xml:space="preserve">, </w:t>
            </w:r>
            <w:r w:rsidR="009261AA" w:rsidRPr="009654E3">
              <w:rPr>
                <w:rFonts w:ascii="Arial" w:hAnsi="Arial" w:cs="Arial"/>
                <w:sz w:val="22"/>
              </w:rPr>
              <w:t xml:space="preserve">the </w:t>
            </w:r>
            <w:r w:rsidR="006C783E" w:rsidRPr="009654E3">
              <w:rPr>
                <w:rFonts w:ascii="Arial" w:hAnsi="Arial" w:cs="Arial"/>
                <w:sz w:val="22"/>
              </w:rPr>
              <w:t xml:space="preserve">accused must be brought </w:t>
            </w:r>
            <w:r w:rsidR="00684F75" w:rsidRPr="009654E3">
              <w:rPr>
                <w:rFonts w:ascii="Arial" w:hAnsi="Arial" w:cs="Arial"/>
                <w:sz w:val="22"/>
              </w:rPr>
              <w:t xml:space="preserve">in person, unless alternative arrangements </w:t>
            </w:r>
            <w:r w:rsidR="009261AA" w:rsidRPr="009654E3">
              <w:rPr>
                <w:rFonts w:ascii="Arial" w:hAnsi="Arial" w:cs="Arial"/>
                <w:sz w:val="22"/>
              </w:rPr>
              <w:t xml:space="preserve">for a video appearance </w:t>
            </w:r>
            <w:r w:rsidR="00684F75" w:rsidRPr="009654E3">
              <w:rPr>
                <w:rFonts w:ascii="Arial" w:hAnsi="Arial" w:cs="Arial"/>
                <w:sz w:val="22"/>
              </w:rPr>
              <w:t xml:space="preserve">can be made, </w:t>
            </w:r>
            <w:proofErr w:type="gramStart"/>
            <w:r w:rsidR="00684F75" w:rsidRPr="009654E3">
              <w:rPr>
                <w:rFonts w:ascii="Arial" w:hAnsi="Arial" w:cs="Arial"/>
                <w:sz w:val="22"/>
              </w:rPr>
              <w:t>e.g.</w:t>
            </w:r>
            <w:proofErr w:type="gramEnd"/>
            <w:r w:rsidR="00684F75" w:rsidRPr="009654E3">
              <w:rPr>
                <w:rFonts w:ascii="Arial" w:hAnsi="Arial" w:cs="Arial"/>
                <w:sz w:val="22"/>
              </w:rPr>
              <w:t xml:space="preserve"> </w:t>
            </w:r>
            <w:r w:rsidR="0022345F" w:rsidRPr="009654E3">
              <w:rPr>
                <w:rFonts w:ascii="Arial" w:hAnsi="Arial" w:cs="Arial"/>
                <w:sz w:val="22"/>
              </w:rPr>
              <w:t xml:space="preserve">bringing the accused </w:t>
            </w:r>
            <w:r w:rsidR="006C783E" w:rsidRPr="009654E3">
              <w:rPr>
                <w:rFonts w:ascii="Arial" w:hAnsi="Arial" w:cs="Arial"/>
                <w:sz w:val="22"/>
              </w:rPr>
              <w:t xml:space="preserve">to the courthouse </w:t>
            </w:r>
            <w:r w:rsidR="0022345F" w:rsidRPr="009654E3">
              <w:rPr>
                <w:rFonts w:ascii="Arial" w:hAnsi="Arial" w:cs="Arial"/>
                <w:sz w:val="22"/>
              </w:rPr>
              <w:t>to appear by video from a video suite within the courthouse.</w:t>
            </w:r>
          </w:p>
          <w:p w14:paraId="64094689" w14:textId="075F1018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 xml:space="preserve">For </w:t>
            </w: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consent releases and remands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: Accused may attend by </w:t>
            </w:r>
            <w:r w:rsidR="009912FD" w:rsidRPr="009654E3">
              <w:rPr>
                <w:rFonts w:ascii="Arial" w:hAnsi="Arial" w:cs="Arial"/>
                <w:sz w:val="22"/>
                <w:u w:val="single"/>
                <w:lang w:val="en-US"/>
              </w:rPr>
              <w:t xml:space="preserve">video or </w:t>
            </w: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audio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unless otherwise directed</w:t>
            </w:r>
          </w:p>
          <w:p w14:paraId="2C892CB8" w14:textId="20A7FEEC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Sureties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may attend by </w:t>
            </w: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video or audio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unless otherwise directed</w:t>
            </w:r>
          </w:p>
        </w:tc>
      </w:tr>
      <w:tr w:rsidR="00831E76" w:rsidRPr="005E0F5F" w14:paraId="655EC835" w14:textId="77777777" w:rsidTr="00831E76">
        <w:trPr>
          <w:cantSplit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4251624" w14:textId="233DB785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>Special bail hearings</w:t>
            </w:r>
          </w:p>
        </w:tc>
        <w:tc>
          <w:tcPr>
            <w:tcW w:w="10773" w:type="dxa"/>
            <w:tcBorders>
              <w:top w:val="nil"/>
              <w:bottom w:val="single" w:sz="4" w:space="0" w:color="auto"/>
            </w:tcBorders>
          </w:tcPr>
          <w:p w14:paraId="3DCF3294" w14:textId="0D2855C1" w:rsidR="00831E76" w:rsidRPr="009654E3" w:rsidRDefault="0022345F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>The m</w:t>
            </w:r>
            <w:r w:rsidR="005A297D" w:rsidRPr="009654E3">
              <w:rPr>
                <w:rFonts w:ascii="Arial" w:hAnsi="Arial" w:cs="Arial"/>
                <w:sz w:val="22"/>
                <w:lang w:val="en-US"/>
              </w:rPr>
              <w:t>ode of appearance will be directed by the judicial officer  presiding at the special bail hearing conference following discussion of the issue.</w:t>
            </w:r>
          </w:p>
        </w:tc>
      </w:tr>
      <w:tr w:rsidR="00831E76" w:rsidRPr="005E0F5F" w14:paraId="37267029" w14:textId="77777777" w:rsidTr="00831E76">
        <w:trPr>
          <w:cantSplit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7488DE2D" w14:textId="77777777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>Special bail conference</w:t>
            </w:r>
          </w:p>
        </w:tc>
        <w:tc>
          <w:tcPr>
            <w:tcW w:w="10773" w:type="dxa"/>
            <w:tcBorders>
              <w:top w:val="nil"/>
              <w:bottom w:val="single" w:sz="4" w:space="0" w:color="auto"/>
            </w:tcBorders>
          </w:tcPr>
          <w:p w14:paraId="6E3AB36A" w14:textId="77777777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Video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unless otherwise directed</w:t>
            </w:r>
          </w:p>
          <w:p w14:paraId="074D92EF" w14:textId="7ADF3514" w:rsidR="003C50AE" w:rsidRPr="009654E3" w:rsidRDefault="003C50AE" w:rsidP="00E457CE">
            <w:pPr>
              <w:spacing w:before="80" w:after="80"/>
              <w:ind w:left="72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>Note:  RSJ</w:t>
            </w:r>
            <w:r w:rsidR="009261AA" w:rsidRPr="009654E3">
              <w:rPr>
                <w:rFonts w:ascii="Arial" w:hAnsi="Arial" w:cs="Arial"/>
                <w:sz w:val="22"/>
                <w:lang w:val="en-US"/>
              </w:rPr>
              <w:t>, RSJP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or designate can authorize audio conference</w:t>
            </w:r>
            <w:r w:rsidR="009040E5" w:rsidRPr="009654E3">
              <w:rPr>
                <w:rFonts w:ascii="Arial" w:hAnsi="Arial" w:cs="Arial"/>
                <w:sz w:val="22"/>
                <w:lang w:val="en-US"/>
              </w:rPr>
              <w:t>s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as </w:t>
            </w:r>
            <w:r w:rsidR="009261AA" w:rsidRPr="009654E3">
              <w:rPr>
                <w:rFonts w:ascii="Arial" w:hAnsi="Arial" w:cs="Arial"/>
                <w:sz w:val="22"/>
                <w:lang w:val="en-US"/>
              </w:rPr>
              <w:t xml:space="preserve">can </w:t>
            </w:r>
            <w:r w:rsidR="004D61FA" w:rsidRPr="009654E3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Pr="009654E3">
              <w:rPr>
                <w:rFonts w:ascii="Arial" w:hAnsi="Arial" w:cs="Arial"/>
                <w:sz w:val="22"/>
                <w:lang w:val="en-US"/>
              </w:rPr>
              <w:t>presiding jud</w:t>
            </w:r>
            <w:r w:rsidR="009261AA" w:rsidRPr="009654E3">
              <w:rPr>
                <w:rFonts w:ascii="Arial" w:hAnsi="Arial" w:cs="Arial"/>
                <w:sz w:val="22"/>
                <w:lang w:val="en-US"/>
              </w:rPr>
              <w:t>icial officer</w:t>
            </w:r>
          </w:p>
        </w:tc>
      </w:tr>
      <w:tr w:rsidR="00831E76" w:rsidRPr="00374992" w14:paraId="5FF03103" w14:textId="77777777" w:rsidTr="00831E76">
        <w:trPr>
          <w:cantSplit/>
        </w:trPr>
        <w:tc>
          <w:tcPr>
            <w:tcW w:w="3119" w:type="dxa"/>
          </w:tcPr>
          <w:p w14:paraId="48C22D45" w14:textId="77777777" w:rsidR="00831E76" w:rsidRPr="009654E3" w:rsidRDefault="00831E76" w:rsidP="00E457CE">
            <w:pPr>
              <w:spacing w:before="80" w:after="8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9654E3">
              <w:rPr>
                <w:rFonts w:ascii="Arial" w:hAnsi="Arial" w:cs="Arial"/>
                <w:b/>
                <w:bCs/>
                <w:sz w:val="22"/>
                <w:lang w:val="en-US"/>
              </w:rPr>
              <w:t>JPTs</w:t>
            </w:r>
          </w:p>
        </w:tc>
        <w:tc>
          <w:tcPr>
            <w:tcW w:w="10773" w:type="dxa"/>
          </w:tcPr>
          <w:p w14:paraId="301758ED" w14:textId="77777777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Video</w:t>
            </w:r>
            <w:r w:rsidRPr="009654E3">
              <w:rPr>
                <w:rFonts w:ascii="Arial" w:hAnsi="Arial" w:cs="Arial"/>
                <w:sz w:val="22"/>
                <w:lang w:val="en-US"/>
              </w:rPr>
              <w:t>, unless otherwise directed (for both counsel JPTs and self-rep JPTs)</w:t>
            </w:r>
          </w:p>
          <w:p w14:paraId="1D281737" w14:textId="60042A70" w:rsidR="00831E76" w:rsidRPr="009654E3" w:rsidRDefault="00831E76" w:rsidP="00E457CE">
            <w:pPr>
              <w:spacing w:before="80" w:after="80"/>
              <w:ind w:left="72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 xml:space="preserve">Note:  RSJ or designate can authorize </w:t>
            </w:r>
            <w:r w:rsidR="004F5B8F" w:rsidRPr="009654E3">
              <w:rPr>
                <w:rFonts w:ascii="Arial" w:hAnsi="Arial" w:cs="Arial"/>
                <w:sz w:val="22"/>
                <w:lang w:val="en-US"/>
              </w:rPr>
              <w:t xml:space="preserve">audio or in-person JPTs, 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as </w:t>
            </w:r>
            <w:r w:rsidR="004F5B8F" w:rsidRPr="009654E3">
              <w:rPr>
                <w:rFonts w:ascii="Arial" w:hAnsi="Arial" w:cs="Arial"/>
                <w:sz w:val="22"/>
                <w:lang w:val="en-US"/>
              </w:rPr>
              <w:t xml:space="preserve">can </w:t>
            </w:r>
            <w:r w:rsidR="004D61FA" w:rsidRPr="009654E3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Pr="009654E3">
              <w:rPr>
                <w:rFonts w:ascii="Arial" w:hAnsi="Arial" w:cs="Arial"/>
                <w:sz w:val="22"/>
                <w:lang w:val="en-US"/>
              </w:rPr>
              <w:t>presiding judge</w:t>
            </w:r>
          </w:p>
        </w:tc>
      </w:tr>
      <w:tr w:rsidR="00831E76" w:rsidRPr="00D430BF" w14:paraId="67313C9C" w14:textId="77777777" w:rsidTr="00831E76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14:paraId="1C9531D5" w14:textId="25EEB331" w:rsidR="00831E76" w:rsidRPr="009654E3" w:rsidRDefault="00831E76" w:rsidP="00E457CE">
            <w:pPr>
              <w:spacing w:before="80" w:after="8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9654E3">
              <w:rPr>
                <w:rFonts w:ascii="Arial" w:hAnsi="Arial" w:cs="Arial"/>
                <w:b/>
                <w:bCs/>
                <w:sz w:val="22"/>
                <w:lang w:val="en-US"/>
              </w:rPr>
              <w:t>Plea Court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C1BF417" w14:textId="7BC4662A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>I</w:t>
            </w: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n person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unless judge orders otherwise</w:t>
            </w:r>
          </w:p>
          <w:p w14:paraId="1744F407" w14:textId="3CF7B144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Exception</w:t>
            </w:r>
            <w:r w:rsidR="00EA3271" w:rsidRPr="009654E3">
              <w:rPr>
                <w:rFonts w:ascii="Arial" w:hAnsi="Arial" w:cs="Arial"/>
                <w:sz w:val="22"/>
                <w:u w:val="single"/>
                <w:lang w:val="en-US"/>
              </w:rPr>
              <w:t>s for videos pleas on consent</w:t>
            </w:r>
            <w:r w:rsidR="00EA3271" w:rsidRPr="009654E3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9654E3">
              <w:rPr>
                <w:rFonts w:ascii="Arial" w:hAnsi="Arial" w:cs="Arial"/>
                <w:sz w:val="22"/>
                <w:lang w:val="en-US"/>
              </w:rPr>
              <w:t>: subject to a judge ordering otherwise</w:t>
            </w:r>
            <w:r w:rsidR="00D466AE" w:rsidRPr="009654E3">
              <w:rPr>
                <w:rFonts w:ascii="Arial" w:hAnsi="Arial" w:cs="Arial"/>
                <w:sz w:val="22"/>
                <w:lang w:val="en-US"/>
              </w:rPr>
              <w:t xml:space="preserve">, video </w:t>
            </w:r>
            <w:proofErr w:type="spellStart"/>
            <w:r w:rsidR="00D466AE" w:rsidRPr="009654E3">
              <w:rPr>
                <w:rFonts w:ascii="Arial" w:hAnsi="Arial" w:cs="Arial"/>
                <w:sz w:val="22"/>
                <w:lang w:val="en-US"/>
              </w:rPr>
              <w:t>pleas</w:t>
            </w:r>
            <w:proofErr w:type="spellEnd"/>
            <w:r w:rsidR="00D466AE" w:rsidRPr="009654E3">
              <w:rPr>
                <w:rFonts w:ascii="Arial" w:hAnsi="Arial" w:cs="Arial"/>
                <w:sz w:val="22"/>
                <w:lang w:val="en-US"/>
              </w:rPr>
              <w:t xml:space="preserve"> do not require prior approval of a judge in the following circumstances</w:t>
            </w:r>
            <w:r w:rsidRPr="009654E3">
              <w:rPr>
                <w:rFonts w:ascii="Arial" w:hAnsi="Arial" w:cs="Arial"/>
                <w:sz w:val="22"/>
                <w:lang w:val="en-US"/>
              </w:rPr>
              <w:t>:</w:t>
            </w:r>
          </w:p>
          <w:p w14:paraId="331B611A" w14:textId="239BE9FB" w:rsidR="00831E76" w:rsidRPr="009654E3" w:rsidRDefault="00831E76" w:rsidP="00E457CE">
            <w:pPr>
              <w:pStyle w:val="ListParagraph"/>
              <w:numPr>
                <w:ilvl w:val="0"/>
                <w:numId w:val="22"/>
              </w:numPr>
              <w:spacing w:before="80" w:after="80"/>
              <w:ind w:left="714" w:hanging="357"/>
              <w:contextualSpacing w:val="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In-custody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accused </w:t>
            </w:r>
            <w:r w:rsidR="00D466AE" w:rsidRPr="009654E3">
              <w:rPr>
                <w:rFonts w:ascii="Arial" w:hAnsi="Arial" w:cs="Arial"/>
                <w:sz w:val="22"/>
                <w:lang w:val="en-US"/>
              </w:rPr>
              <w:t xml:space="preserve">– if the accused </w:t>
            </w:r>
            <w:r w:rsidR="009D4F7E" w:rsidRPr="009654E3">
              <w:rPr>
                <w:rFonts w:ascii="Arial" w:hAnsi="Arial" w:cs="Arial"/>
                <w:sz w:val="22"/>
                <w:lang w:val="en-US"/>
              </w:rPr>
              <w:t xml:space="preserve">consents to attend by 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video </w:t>
            </w:r>
          </w:p>
          <w:p w14:paraId="3833854B" w14:textId="1FFD6E8A" w:rsidR="009654E3" w:rsidRPr="009654E3" w:rsidRDefault="00831E76" w:rsidP="00E457CE">
            <w:pPr>
              <w:pStyle w:val="ListParagraph"/>
              <w:numPr>
                <w:ilvl w:val="0"/>
                <w:numId w:val="22"/>
              </w:numPr>
              <w:spacing w:before="80" w:after="80"/>
              <w:ind w:left="714" w:hanging="357"/>
              <w:contextualSpacing w:val="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Out of custody</w:t>
            </w:r>
            <w:r w:rsidR="00F03B86" w:rsidRPr="009654E3">
              <w:rPr>
                <w:rFonts w:ascii="Arial" w:hAnsi="Arial" w:cs="Arial"/>
                <w:sz w:val="22"/>
                <w:lang w:val="en-US"/>
              </w:rPr>
              <w:t xml:space="preserve"> accused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9D4F7E" w:rsidRPr="009654E3">
              <w:rPr>
                <w:rFonts w:ascii="Arial" w:hAnsi="Arial" w:cs="Arial"/>
                <w:sz w:val="22"/>
                <w:lang w:val="en-US"/>
              </w:rPr>
              <w:t xml:space="preserve">– if </w:t>
            </w:r>
            <w:r w:rsidR="00A763A1" w:rsidRPr="009654E3">
              <w:rPr>
                <w:rFonts w:ascii="Arial" w:hAnsi="Arial" w:cs="Arial"/>
                <w:sz w:val="22"/>
                <w:lang w:val="en-US"/>
              </w:rPr>
              <w:t xml:space="preserve">(i) </w:t>
            </w:r>
            <w:r w:rsidR="009D4F7E" w:rsidRPr="009654E3">
              <w:rPr>
                <w:rFonts w:ascii="Arial" w:hAnsi="Arial" w:cs="Arial"/>
                <w:sz w:val="22"/>
                <w:lang w:val="en-US"/>
              </w:rPr>
              <w:t xml:space="preserve">both the Crown and accused consent to the accused attending by video </w:t>
            </w:r>
            <w:r w:rsidR="009D4F7E" w:rsidRPr="009654E3">
              <w:rPr>
                <w:rFonts w:ascii="Arial" w:hAnsi="Arial" w:cs="Arial"/>
                <w:sz w:val="22"/>
                <w:u w:val="single"/>
                <w:lang w:val="en-US"/>
              </w:rPr>
              <w:t>and</w:t>
            </w:r>
            <w:r w:rsidR="009D4F7E" w:rsidRPr="009654E3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A763A1" w:rsidRPr="009654E3">
              <w:rPr>
                <w:rFonts w:ascii="Arial" w:hAnsi="Arial" w:cs="Arial"/>
                <w:sz w:val="22"/>
                <w:lang w:val="en-US"/>
              </w:rPr>
              <w:t xml:space="preserve">(ii) 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neither party is seeking </w:t>
            </w:r>
            <w:r w:rsidR="00A763A1" w:rsidRPr="009654E3">
              <w:rPr>
                <w:rFonts w:ascii="Arial" w:hAnsi="Arial" w:cs="Arial"/>
                <w:sz w:val="22"/>
                <w:lang w:val="en-US"/>
              </w:rPr>
              <w:t xml:space="preserve">a </w:t>
            </w:r>
            <w:r w:rsidRPr="009654E3">
              <w:rPr>
                <w:rFonts w:ascii="Arial" w:hAnsi="Arial" w:cs="Arial"/>
                <w:sz w:val="22"/>
                <w:lang w:val="en-US"/>
              </w:rPr>
              <w:t>custodial sentence</w:t>
            </w:r>
            <w:r w:rsidR="00B127C5" w:rsidRPr="009654E3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</w:tr>
      <w:tr w:rsidR="00831E76" w:rsidRPr="00EF2E9B" w14:paraId="6D78CE55" w14:textId="77777777" w:rsidTr="00831E76">
        <w:trPr>
          <w:cantSplit/>
        </w:trPr>
        <w:tc>
          <w:tcPr>
            <w:tcW w:w="3119" w:type="dxa"/>
            <w:tcBorders>
              <w:bottom w:val="nil"/>
            </w:tcBorders>
          </w:tcPr>
          <w:p w14:paraId="66EF198A" w14:textId="77777777" w:rsidR="00831E76" w:rsidRPr="009654E3" w:rsidRDefault="00831E76" w:rsidP="00E457CE">
            <w:pPr>
              <w:spacing w:before="80" w:after="8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9654E3">
              <w:rPr>
                <w:rFonts w:ascii="Arial" w:hAnsi="Arial" w:cs="Arial"/>
                <w:b/>
                <w:bCs/>
                <w:sz w:val="22"/>
                <w:lang w:val="en-US"/>
              </w:rPr>
              <w:lastRenderedPageBreak/>
              <w:t>Trials / Prelims</w:t>
            </w:r>
          </w:p>
        </w:tc>
        <w:tc>
          <w:tcPr>
            <w:tcW w:w="10773" w:type="dxa"/>
            <w:tcBorders>
              <w:bottom w:val="nil"/>
            </w:tcBorders>
          </w:tcPr>
          <w:p w14:paraId="33DC8B3C" w14:textId="343E95F2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In person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for all participants (witness, counsel, accused) , unless </w:t>
            </w:r>
            <w:r w:rsidR="00AE6895" w:rsidRPr="009654E3">
              <w:rPr>
                <w:rFonts w:ascii="Arial" w:hAnsi="Arial" w:cs="Arial"/>
                <w:sz w:val="22"/>
                <w:lang w:val="en-US"/>
              </w:rPr>
              <w:t xml:space="preserve">a </w:t>
            </w:r>
            <w:r w:rsidRPr="009654E3">
              <w:rPr>
                <w:rFonts w:ascii="Arial" w:hAnsi="Arial" w:cs="Arial"/>
                <w:sz w:val="22"/>
                <w:lang w:val="en-US"/>
              </w:rPr>
              <w:t>judge has ordered otherwise</w:t>
            </w:r>
          </w:p>
          <w:p w14:paraId="1CE18F38" w14:textId="1ADCF35D" w:rsidR="00831E76" w:rsidRPr="009654E3" w:rsidRDefault="00831E76" w:rsidP="00E457CE">
            <w:pPr>
              <w:spacing w:before="80" w:after="80"/>
              <w:ind w:left="72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 xml:space="preserve">Note:  </w:t>
            </w:r>
            <w:r w:rsidR="00B127C5" w:rsidRPr="009654E3">
              <w:rPr>
                <w:rFonts w:ascii="Arial" w:hAnsi="Arial" w:cs="Arial"/>
                <w:sz w:val="22"/>
                <w:u w:val="single"/>
                <w:lang w:val="en-US"/>
              </w:rPr>
              <w:t>M</w:t>
            </w: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atters that have already been pre-tried and scheduled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(on consent) as virtual (or hybrid) hearings will continue in the mode scheduled, unless otherwise directed</w:t>
            </w:r>
          </w:p>
          <w:p w14:paraId="67528E87" w14:textId="672E4DCF" w:rsidR="00760A34" w:rsidRPr="009654E3" w:rsidRDefault="000F5568" w:rsidP="00E457CE">
            <w:pPr>
              <w:spacing w:before="80" w:after="80"/>
              <w:ind w:left="72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 xml:space="preserve">For </w:t>
            </w: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 xml:space="preserve">matters </w:t>
            </w:r>
            <w:r w:rsidR="00E9742C" w:rsidRPr="009654E3">
              <w:rPr>
                <w:rFonts w:ascii="Arial" w:hAnsi="Arial" w:cs="Arial"/>
                <w:sz w:val="22"/>
                <w:u w:val="single"/>
                <w:lang w:val="en-US"/>
              </w:rPr>
              <w:t>sche</w:t>
            </w:r>
            <w:r w:rsidR="003404B4" w:rsidRPr="009654E3">
              <w:rPr>
                <w:rFonts w:ascii="Arial" w:hAnsi="Arial" w:cs="Arial"/>
                <w:sz w:val="22"/>
                <w:u w:val="single"/>
                <w:lang w:val="en-US"/>
              </w:rPr>
              <w:t xml:space="preserve">duled </w:t>
            </w: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after April 4</w:t>
            </w:r>
            <w:r w:rsidR="003404B4" w:rsidRPr="009654E3">
              <w:rPr>
                <w:rFonts w:ascii="Arial" w:hAnsi="Arial" w:cs="Arial"/>
                <w:sz w:val="22"/>
                <w:u w:val="single"/>
                <w:lang w:val="en-US"/>
              </w:rPr>
              <w:t>, 2022</w:t>
            </w:r>
            <w:r w:rsidR="00831E76" w:rsidRPr="009654E3">
              <w:rPr>
                <w:rFonts w:ascii="Arial" w:hAnsi="Arial" w:cs="Arial"/>
                <w:sz w:val="22"/>
                <w:lang w:val="en-US"/>
              </w:rPr>
              <w:t>, if all parties consent to some or all of a hearing being conducted on video</w:t>
            </w:r>
            <w:r w:rsidR="008048CA" w:rsidRPr="009654E3">
              <w:rPr>
                <w:rFonts w:ascii="Arial" w:hAnsi="Arial" w:cs="Arial"/>
                <w:sz w:val="22"/>
                <w:lang w:val="en-US"/>
              </w:rPr>
              <w:t xml:space="preserve"> (or as a hybrid hearing)</w:t>
            </w:r>
            <w:r w:rsidR="00831E76" w:rsidRPr="009654E3">
              <w:rPr>
                <w:rFonts w:ascii="Arial" w:hAnsi="Arial" w:cs="Arial"/>
                <w:sz w:val="22"/>
                <w:lang w:val="en-US"/>
              </w:rPr>
              <w:t>, the parties may presume the matter will proceed in the agreed-upon mode, subject to the presiding judge directing otherwise</w:t>
            </w:r>
            <w:r w:rsidR="00AC49D8" w:rsidRPr="009654E3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</w:tr>
      <w:tr w:rsidR="00831E76" w14:paraId="4581E3FD" w14:textId="77777777" w:rsidTr="00831E76">
        <w:trPr>
          <w:cantSplit/>
        </w:trPr>
        <w:tc>
          <w:tcPr>
            <w:tcW w:w="3119" w:type="dxa"/>
          </w:tcPr>
          <w:p w14:paraId="24E707B2" w14:textId="0A1CA9E8" w:rsidR="00831E76" w:rsidRPr="009654E3" w:rsidRDefault="00831E76" w:rsidP="00E457CE">
            <w:pPr>
              <w:keepNext/>
              <w:keepLines/>
              <w:spacing w:before="80" w:after="8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9654E3">
              <w:rPr>
                <w:rFonts w:ascii="Arial" w:hAnsi="Arial" w:cs="Arial"/>
                <w:b/>
                <w:bCs/>
                <w:sz w:val="22"/>
                <w:lang w:val="en-US"/>
              </w:rPr>
              <w:t>Case management</w:t>
            </w:r>
          </w:p>
        </w:tc>
        <w:tc>
          <w:tcPr>
            <w:tcW w:w="10773" w:type="dxa"/>
          </w:tcPr>
          <w:p w14:paraId="4E1EF2A2" w14:textId="0683BE8B" w:rsidR="00171A32" w:rsidRPr="009654E3" w:rsidRDefault="00831E76" w:rsidP="00E457CE">
            <w:pPr>
              <w:keepNext/>
              <w:keepLines/>
              <w:spacing w:before="80" w:after="8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No immediate changes</w:t>
            </w:r>
            <w:r w:rsidR="009D5EA1" w:rsidRPr="009654E3">
              <w:rPr>
                <w:rFonts w:ascii="Arial" w:hAnsi="Arial" w:cs="Arial"/>
                <w:sz w:val="22"/>
                <w:u w:val="single"/>
                <w:lang w:val="en-US"/>
              </w:rPr>
              <w:t>.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</w:tr>
      <w:tr w:rsidR="00831E76" w14:paraId="665C8683" w14:textId="77777777" w:rsidTr="00831E76">
        <w:trPr>
          <w:cantSplit/>
        </w:trPr>
        <w:tc>
          <w:tcPr>
            <w:tcW w:w="3119" w:type="dxa"/>
          </w:tcPr>
          <w:p w14:paraId="69F68D16" w14:textId="073182BD" w:rsidR="00831E76" w:rsidRPr="009654E3" w:rsidRDefault="00831E76" w:rsidP="00E457CE">
            <w:pPr>
              <w:spacing w:before="80" w:after="8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>Set date (case mgmt.) – in custody</w:t>
            </w:r>
          </w:p>
        </w:tc>
        <w:tc>
          <w:tcPr>
            <w:tcW w:w="10773" w:type="dxa"/>
          </w:tcPr>
          <w:p w14:paraId="328F692C" w14:textId="4ED2FF4E" w:rsidR="00831E76" w:rsidRPr="009654E3" w:rsidRDefault="00831E76" w:rsidP="00E457CE">
            <w:pPr>
              <w:keepNext/>
              <w:keepLines/>
              <w:spacing w:before="80" w:after="8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No immediate changes</w:t>
            </w:r>
          </w:p>
        </w:tc>
      </w:tr>
      <w:tr w:rsidR="00831E76" w14:paraId="7B4806CB" w14:textId="77777777" w:rsidTr="00831E76">
        <w:trPr>
          <w:cantSplit/>
        </w:trPr>
        <w:tc>
          <w:tcPr>
            <w:tcW w:w="3119" w:type="dxa"/>
          </w:tcPr>
          <w:p w14:paraId="40282DD4" w14:textId="04749A42" w:rsidR="00831E76" w:rsidRPr="009654E3" w:rsidRDefault="00831E76" w:rsidP="00E457CE">
            <w:pPr>
              <w:spacing w:before="80" w:after="8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>Set date (case mgmt.) – out of custody</w:t>
            </w:r>
          </w:p>
        </w:tc>
        <w:tc>
          <w:tcPr>
            <w:tcW w:w="10773" w:type="dxa"/>
          </w:tcPr>
          <w:p w14:paraId="791519C3" w14:textId="3E12CEC7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No immediate changes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– </w:t>
            </w:r>
            <w:r w:rsidR="00E45DD5" w:rsidRPr="009654E3">
              <w:rPr>
                <w:rFonts w:ascii="Arial" w:hAnsi="Arial" w:cs="Arial"/>
                <w:sz w:val="22"/>
                <w:lang w:val="en-US"/>
              </w:rPr>
              <w:t xml:space="preserve">Appearances </w:t>
            </w:r>
            <w:r w:rsidR="005070E3" w:rsidRPr="009654E3">
              <w:rPr>
                <w:rFonts w:ascii="Arial" w:hAnsi="Arial" w:cs="Arial"/>
                <w:sz w:val="22"/>
                <w:lang w:val="en-US"/>
              </w:rPr>
              <w:t xml:space="preserve">by accused persons and counsel will remain </w:t>
            </w:r>
            <w:r w:rsidRPr="009654E3">
              <w:rPr>
                <w:rFonts w:ascii="Arial" w:hAnsi="Arial" w:cs="Arial"/>
                <w:sz w:val="22"/>
                <w:lang w:val="en-US"/>
              </w:rPr>
              <w:t>primarily by video</w:t>
            </w:r>
            <w:r w:rsidR="00171A32" w:rsidRPr="009654E3">
              <w:rPr>
                <w:rFonts w:ascii="Arial" w:hAnsi="Arial" w:cs="Arial"/>
                <w:sz w:val="22"/>
                <w:lang w:val="en-US"/>
              </w:rPr>
              <w:t xml:space="preserve"> unless otherwise directed</w:t>
            </w:r>
            <w:r w:rsidR="008F46DB" w:rsidRPr="009654E3">
              <w:rPr>
                <w:rFonts w:ascii="Arial" w:hAnsi="Arial" w:cs="Arial"/>
                <w:sz w:val="22"/>
                <w:lang w:val="en-US"/>
              </w:rPr>
              <w:t>.</w:t>
            </w:r>
          </w:p>
          <w:p w14:paraId="6072FD66" w14:textId="6319E083" w:rsidR="0055061A" w:rsidRPr="009654E3" w:rsidRDefault="0075171A" w:rsidP="00E457CE">
            <w:pPr>
              <w:spacing w:before="80" w:after="80"/>
              <w:ind w:left="72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>Note:  Courthouses will continue local accommodation</w:t>
            </w:r>
            <w:r w:rsidR="00AB389D" w:rsidRPr="009654E3">
              <w:rPr>
                <w:rFonts w:ascii="Arial" w:hAnsi="Arial" w:cs="Arial"/>
                <w:sz w:val="22"/>
                <w:lang w:val="en-US"/>
              </w:rPr>
              <w:t>s</w:t>
            </w:r>
            <w:r w:rsidRPr="009654E3">
              <w:rPr>
                <w:rFonts w:ascii="Arial" w:hAnsi="Arial" w:cs="Arial"/>
                <w:sz w:val="22"/>
                <w:lang w:val="en-US"/>
              </w:rPr>
              <w:t xml:space="preserve"> for in-person appearances by accused persons who are unable to attend by video or audio.</w:t>
            </w:r>
          </w:p>
        </w:tc>
      </w:tr>
      <w:tr w:rsidR="00831E76" w14:paraId="6AB9B952" w14:textId="77777777" w:rsidTr="00831E76">
        <w:trPr>
          <w:cantSplit/>
        </w:trPr>
        <w:tc>
          <w:tcPr>
            <w:tcW w:w="3119" w:type="dxa"/>
          </w:tcPr>
          <w:p w14:paraId="18F26EFD" w14:textId="5ED57A92" w:rsidR="00831E76" w:rsidRPr="009654E3" w:rsidRDefault="00831E76" w:rsidP="00E457CE">
            <w:pPr>
              <w:spacing w:before="80" w:after="8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 xml:space="preserve">Judge-led Case </w:t>
            </w:r>
            <w:proofErr w:type="spellStart"/>
            <w:r w:rsidRPr="009654E3">
              <w:rPr>
                <w:rFonts w:ascii="Arial" w:hAnsi="Arial" w:cs="Arial"/>
                <w:sz w:val="22"/>
                <w:lang w:val="en-US"/>
              </w:rPr>
              <w:t>Mgmt</w:t>
            </w:r>
            <w:proofErr w:type="spellEnd"/>
            <w:r w:rsidRPr="009654E3">
              <w:rPr>
                <w:rFonts w:ascii="Arial" w:hAnsi="Arial" w:cs="Arial"/>
                <w:sz w:val="22"/>
                <w:lang w:val="en-US"/>
              </w:rPr>
              <w:t xml:space="preserve"> Courts (JICMCs)</w:t>
            </w:r>
          </w:p>
        </w:tc>
        <w:tc>
          <w:tcPr>
            <w:tcW w:w="10773" w:type="dxa"/>
          </w:tcPr>
          <w:p w14:paraId="2798A260" w14:textId="3ECC0E9A" w:rsidR="00831E76" w:rsidRPr="009654E3" w:rsidRDefault="00831E76" w:rsidP="00E457CE">
            <w:pPr>
              <w:keepNext/>
              <w:keepLines/>
              <w:spacing w:before="80" w:after="8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No immediate changes</w:t>
            </w:r>
            <w:r w:rsidRPr="009654E3">
              <w:rPr>
                <w:rFonts w:ascii="Arial" w:hAnsi="Arial" w:cs="Arial"/>
                <w:sz w:val="22"/>
                <w:lang w:val="en-US"/>
              </w:rPr>
              <w:t>,</w:t>
            </w:r>
          </w:p>
        </w:tc>
      </w:tr>
      <w:tr w:rsidR="00831E76" w14:paraId="6FBA0FE2" w14:textId="77777777" w:rsidTr="00831E76">
        <w:trPr>
          <w:cantSplit/>
        </w:trPr>
        <w:tc>
          <w:tcPr>
            <w:tcW w:w="3119" w:type="dxa"/>
          </w:tcPr>
          <w:p w14:paraId="52BD9888" w14:textId="153F3EB2" w:rsidR="00831E76" w:rsidRPr="009654E3" w:rsidRDefault="00831E76" w:rsidP="00E457CE">
            <w:pPr>
              <w:spacing w:before="80" w:after="8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>Trial Readiness</w:t>
            </w:r>
          </w:p>
        </w:tc>
        <w:tc>
          <w:tcPr>
            <w:tcW w:w="10773" w:type="dxa"/>
          </w:tcPr>
          <w:p w14:paraId="4E917C89" w14:textId="406A80D4" w:rsidR="00831E76" w:rsidRPr="009654E3" w:rsidRDefault="004A0F3A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No immediate changes</w:t>
            </w:r>
            <w:r w:rsidRPr="009654E3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</w:tr>
      <w:tr w:rsidR="00831E76" w14:paraId="13B87845" w14:textId="77777777" w:rsidTr="00831E76">
        <w:trPr>
          <w:cantSplit/>
        </w:trPr>
        <w:tc>
          <w:tcPr>
            <w:tcW w:w="3119" w:type="dxa"/>
          </w:tcPr>
          <w:p w14:paraId="52B4B284" w14:textId="460A2377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lang w:val="en-US"/>
              </w:rPr>
              <w:t>Specialized courts (</w:t>
            </w:r>
            <w:proofErr w:type="gramStart"/>
            <w:r w:rsidRPr="009654E3">
              <w:rPr>
                <w:rFonts w:ascii="Arial" w:hAnsi="Arial" w:cs="Arial"/>
                <w:sz w:val="22"/>
                <w:lang w:val="en-US"/>
              </w:rPr>
              <w:t>e.g.</w:t>
            </w:r>
            <w:proofErr w:type="gramEnd"/>
            <w:r w:rsidRPr="009654E3">
              <w:rPr>
                <w:rFonts w:ascii="Arial" w:hAnsi="Arial" w:cs="Arial"/>
                <w:sz w:val="22"/>
                <w:lang w:val="en-US"/>
              </w:rPr>
              <w:t xml:space="preserve"> drug treatment court)</w:t>
            </w:r>
          </w:p>
        </w:tc>
        <w:tc>
          <w:tcPr>
            <w:tcW w:w="10773" w:type="dxa"/>
          </w:tcPr>
          <w:p w14:paraId="793159CD" w14:textId="58411FC8" w:rsidR="00831E76" w:rsidRPr="009654E3" w:rsidRDefault="00831E76" w:rsidP="00E457CE">
            <w:pPr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9654E3">
              <w:rPr>
                <w:rFonts w:ascii="Arial" w:hAnsi="Arial" w:cs="Arial"/>
                <w:sz w:val="22"/>
                <w:u w:val="single"/>
                <w:lang w:val="en-US"/>
              </w:rPr>
              <w:t>No immediate changes</w:t>
            </w:r>
            <w:r w:rsidRPr="009654E3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</w:tr>
      <w:tr w:rsidR="00831E76" w14:paraId="32C8E1E6" w14:textId="77777777" w:rsidTr="00831E76">
        <w:trPr>
          <w:cantSplit/>
        </w:trPr>
        <w:tc>
          <w:tcPr>
            <w:tcW w:w="3119" w:type="dxa"/>
          </w:tcPr>
          <w:p w14:paraId="2739282E" w14:textId="19B4EE1D" w:rsidR="00831E76" w:rsidRPr="000B0EE7" w:rsidRDefault="00831E76" w:rsidP="00E457CE">
            <w:pPr>
              <w:spacing w:before="80" w:after="8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0B0EE7">
              <w:rPr>
                <w:rFonts w:ascii="Arial" w:hAnsi="Arial" w:cs="Arial"/>
                <w:b/>
                <w:bCs/>
                <w:sz w:val="22"/>
                <w:lang w:val="en-US"/>
              </w:rPr>
              <w:t>Intake Court</w:t>
            </w:r>
          </w:p>
        </w:tc>
        <w:tc>
          <w:tcPr>
            <w:tcW w:w="10773" w:type="dxa"/>
          </w:tcPr>
          <w:p w14:paraId="3A506F74" w14:textId="63E59C36" w:rsidR="00831E76" w:rsidRPr="000B0EE7" w:rsidRDefault="00CA5ACB" w:rsidP="00E457CE">
            <w:pPr>
              <w:keepNext/>
              <w:keepLines/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 w:rsidRPr="000B0EE7">
              <w:rPr>
                <w:rFonts w:ascii="Arial" w:hAnsi="Arial" w:cs="Arial"/>
                <w:sz w:val="22"/>
                <w:lang w:val="en-US"/>
              </w:rPr>
              <w:t>Applicants and Informants may attend in person; r</w:t>
            </w:r>
            <w:r w:rsidR="00831E76" w:rsidRPr="000B0EE7">
              <w:rPr>
                <w:rFonts w:ascii="Arial" w:hAnsi="Arial" w:cs="Arial"/>
                <w:sz w:val="22"/>
                <w:lang w:val="en-US"/>
              </w:rPr>
              <w:t>emote processes introduced during pandemic will remain as an alternative option (</w:t>
            </w:r>
            <w:r w:rsidR="004B503C" w:rsidRPr="000B0EE7">
              <w:rPr>
                <w:rFonts w:ascii="Arial" w:hAnsi="Arial" w:cs="Arial"/>
                <w:sz w:val="22"/>
                <w:lang w:val="en-US"/>
              </w:rPr>
              <w:t xml:space="preserve">for </w:t>
            </w:r>
            <w:r w:rsidR="00831E76" w:rsidRPr="000B0EE7">
              <w:rPr>
                <w:rFonts w:ascii="Arial" w:hAnsi="Arial" w:cs="Arial"/>
                <w:sz w:val="22"/>
                <w:lang w:val="en-US"/>
              </w:rPr>
              <w:t>consent bail variations, private prosecutions, private s. 810 applications)</w:t>
            </w:r>
          </w:p>
          <w:p w14:paraId="56C7219C" w14:textId="74E1FCF3" w:rsidR="00DA5969" w:rsidRPr="000B0EE7" w:rsidRDefault="008F46DB" w:rsidP="00E457CE">
            <w:pPr>
              <w:keepNext/>
              <w:keepLines/>
              <w:spacing w:before="80" w:after="8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For peace officers, </w:t>
            </w:r>
            <w:proofErr w:type="spellStart"/>
            <w:r w:rsidR="00DA5969" w:rsidRPr="000B0EE7">
              <w:rPr>
                <w:rFonts w:ascii="Arial" w:hAnsi="Arial" w:cs="Arial"/>
                <w:sz w:val="22"/>
                <w:lang w:val="en-US"/>
              </w:rPr>
              <w:t>Eprojects</w:t>
            </w:r>
            <w:proofErr w:type="spellEnd"/>
            <w:r w:rsidR="00DA5969" w:rsidRPr="000B0EE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A856E4" w:rsidRPr="000B0EE7">
              <w:rPr>
                <w:rFonts w:ascii="Arial" w:hAnsi="Arial" w:cs="Arial"/>
                <w:sz w:val="22"/>
                <w:lang w:val="en-US"/>
              </w:rPr>
              <w:t>(</w:t>
            </w:r>
            <w:proofErr w:type="gramStart"/>
            <w:r w:rsidR="00A856E4" w:rsidRPr="000B0EE7">
              <w:rPr>
                <w:rFonts w:ascii="Arial" w:hAnsi="Arial" w:cs="Arial"/>
                <w:sz w:val="22"/>
                <w:lang w:val="en-US"/>
              </w:rPr>
              <w:t>i.e.</w:t>
            </w:r>
            <w:proofErr w:type="gramEnd"/>
            <w:r w:rsidR="00A856E4" w:rsidRPr="000B0EE7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="00A856E4" w:rsidRPr="000B0EE7">
              <w:rPr>
                <w:rFonts w:ascii="Arial" w:hAnsi="Arial" w:cs="Arial"/>
                <w:sz w:val="22"/>
                <w:lang w:val="en-US"/>
              </w:rPr>
              <w:t>eIntake</w:t>
            </w:r>
            <w:proofErr w:type="spellEnd"/>
            <w:r w:rsidR="00A856E4" w:rsidRPr="000B0EE7">
              <w:rPr>
                <w:rFonts w:ascii="Arial" w:hAnsi="Arial" w:cs="Arial"/>
                <w:sz w:val="22"/>
                <w:lang w:val="en-US"/>
              </w:rPr>
              <w:t xml:space="preserve">, </w:t>
            </w:r>
            <w:proofErr w:type="spellStart"/>
            <w:r w:rsidR="00A856E4" w:rsidRPr="000B0EE7">
              <w:rPr>
                <w:rFonts w:ascii="Arial" w:hAnsi="Arial" w:cs="Arial"/>
                <w:sz w:val="22"/>
                <w:lang w:val="en-US"/>
              </w:rPr>
              <w:t>eHub</w:t>
            </w:r>
            <w:proofErr w:type="spellEnd"/>
            <w:r w:rsidR="00A856E4" w:rsidRPr="000B0EE7">
              <w:rPr>
                <w:rFonts w:ascii="Arial" w:hAnsi="Arial" w:cs="Arial"/>
                <w:sz w:val="22"/>
                <w:lang w:val="en-US"/>
              </w:rPr>
              <w:t xml:space="preserve">, </w:t>
            </w:r>
            <w:proofErr w:type="spellStart"/>
            <w:r w:rsidR="00A856E4" w:rsidRPr="000B0EE7">
              <w:rPr>
                <w:rFonts w:ascii="Arial" w:hAnsi="Arial" w:cs="Arial"/>
                <w:sz w:val="22"/>
                <w:lang w:val="en-US"/>
              </w:rPr>
              <w:t>eTelewarrant</w:t>
            </w:r>
            <w:proofErr w:type="spellEnd"/>
            <w:r w:rsidR="00A856E4" w:rsidRPr="000B0EE7">
              <w:rPr>
                <w:rFonts w:ascii="Arial" w:hAnsi="Arial" w:cs="Arial"/>
                <w:sz w:val="22"/>
                <w:lang w:val="en-US"/>
              </w:rPr>
              <w:t xml:space="preserve"> and </w:t>
            </w:r>
            <w:proofErr w:type="spellStart"/>
            <w:r w:rsidR="00A856E4" w:rsidRPr="000B0EE7">
              <w:rPr>
                <w:rFonts w:ascii="Arial" w:hAnsi="Arial" w:cs="Arial"/>
                <w:sz w:val="22"/>
                <w:lang w:val="en-US"/>
              </w:rPr>
              <w:t>eReports</w:t>
            </w:r>
            <w:proofErr w:type="spellEnd"/>
            <w:r w:rsidR="00A856E4" w:rsidRPr="000B0EE7">
              <w:rPr>
                <w:rFonts w:ascii="Arial" w:hAnsi="Arial" w:cs="Arial"/>
                <w:sz w:val="22"/>
                <w:lang w:val="en-US"/>
              </w:rPr>
              <w:t xml:space="preserve"> to Justice)</w:t>
            </w:r>
            <w:r w:rsidR="00A856E4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DA5969" w:rsidRPr="000B0EE7">
              <w:rPr>
                <w:rFonts w:ascii="Arial" w:hAnsi="Arial" w:cs="Arial"/>
                <w:sz w:val="22"/>
                <w:lang w:val="en-US"/>
              </w:rPr>
              <w:t>will continue where applicable.</w:t>
            </w:r>
          </w:p>
        </w:tc>
      </w:tr>
    </w:tbl>
    <w:p w14:paraId="5B872060" w14:textId="77777777" w:rsidR="004B64B9" w:rsidRPr="00E923C7" w:rsidRDefault="004B64B9" w:rsidP="00D00B12">
      <w:pPr>
        <w:spacing w:line="240" w:lineRule="auto"/>
        <w:rPr>
          <w:b/>
          <w:bCs/>
          <w:szCs w:val="24"/>
        </w:rPr>
      </w:pPr>
    </w:p>
    <w:sectPr w:rsidR="004B64B9" w:rsidRPr="00E923C7" w:rsidSect="00E45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361" w:right="1440" w:bottom="1247" w:left="144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CF7C" w14:textId="77777777" w:rsidR="00231C15" w:rsidRDefault="00231C15" w:rsidP="00F72078">
      <w:pPr>
        <w:spacing w:after="0" w:line="240" w:lineRule="auto"/>
      </w:pPr>
      <w:r>
        <w:separator/>
      </w:r>
    </w:p>
  </w:endnote>
  <w:endnote w:type="continuationSeparator" w:id="0">
    <w:p w14:paraId="3D191E51" w14:textId="77777777" w:rsidR="00231C15" w:rsidRDefault="00231C15" w:rsidP="00F72078">
      <w:pPr>
        <w:spacing w:after="0" w:line="240" w:lineRule="auto"/>
      </w:pPr>
      <w:r>
        <w:continuationSeparator/>
      </w:r>
    </w:p>
  </w:endnote>
  <w:endnote w:type="continuationNotice" w:id="1">
    <w:p w14:paraId="0CD42DAF" w14:textId="77777777" w:rsidR="00231C15" w:rsidRDefault="00231C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69F6" w14:textId="77777777" w:rsidR="00E457CE" w:rsidRDefault="00E45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96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6EEC7" w14:textId="5C11DAEC" w:rsidR="0033181D" w:rsidRDefault="00D3561D" w:rsidP="00D356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630" w14:textId="50FA4F3A" w:rsidR="00760A34" w:rsidRPr="00E71A09" w:rsidRDefault="009C1A87">
    <w:pPr>
      <w:pStyle w:val="Footer"/>
      <w:rPr>
        <w:sz w:val="22"/>
        <w:szCs w:val="20"/>
        <w:lang w:val="en-US"/>
      </w:rPr>
    </w:pPr>
    <w:r w:rsidRPr="009654E3">
      <w:rPr>
        <w:sz w:val="22"/>
        <w:szCs w:val="20"/>
        <w:lang w:val="en-US"/>
      </w:rPr>
      <w:t xml:space="preserve">Note:  </w:t>
    </w:r>
    <w:r w:rsidR="00760A34" w:rsidRPr="009654E3">
      <w:rPr>
        <w:sz w:val="22"/>
        <w:szCs w:val="20"/>
        <w:lang w:val="en-US"/>
      </w:rPr>
      <w:t>This information will be incorporated into a practice direction that will be published on the Ontario Court of Justice Website</w:t>
    </w:r>
    <w:r w:rsidR="00A20413" w:rsidRPr="009654E3">
      <w:rPr>
        <w:sz w:val="22"/>
        <w:szCs w:val="20"/>
        <w:lang w:val="en-US"/>
      </w:rPr>
      <w:t xml:space="preserve"> before April 4, 2022</w:t>
    </w:r>
    <w:r w:rsidR="00760A34" w:rsidRPr="009654E3">
      <w:rPr>
        <w:sz w:val="22"/>
        <w:szCs w:val="20"/>
        <w:lang w:val="en-US"/>
      </w:rPr>
      <w:t xml:space="preserve">.  This summary chart is being shared with </w:t>
    </w:r>
    <w:r w:rsidR="00E71A09" w:rsidRPr="009654E3">
      <w:rPr>
        <w:sz w:val="22"/>
        <w:szCs w:val="20"/>
        <w:lang w:val="en-US"/>
      </w:rPr>
      <w:t>the court’s justice partners to facilitate planning and discussions among justice partners.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D448" w14:textId="77777777" w:rsidR="00231C15" w:rsidRDefault="00231C15" w:rsidP="00F72078">
      <w:pPr>
        <w:spacing w:after="0" w:line="240" w:lineRule="auto"/>
      </w:pPr>
      <w:r>
        <w:separator/>
      </w:r>
    </w:p>
  </w:footnote>
  <w:footnote w:type="continuationSeparator" w:id="0">
    <w:p w14:paraId="5ECD7D57" w14:textId="77777777" w:rsidR="00231C15" w:rsidRDefault="00231C15" w:rsidP="00F72078">
      <w:pPr>
        <w:spacing w:after="0" w:line="240" w:lineRule="auto"/>
      </w:pPr>
      <w:r>
        <w:continuationSeparator/>
      </w:r>
    </w:p>
  </w:footnote>
  <w:footnote w:type="continuationNotice" w:id="1">
    <w:p w14:paraId="3244E9AF" w14:textId="77777777" w:rsidR="00231C15" w:rsidRDefault="00231C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EE36" w14:textId="77777777" w:rsidR="00E457CE" w:rsidRDefault="00E45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4C65" w14:textId="4AA0DADB" w:rsidR="00F72078" w:rsidRPr="00E457CE" w:rsidRDefault="00F72078" w:rsidP="00E45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86E8" w14:textId="0B10E823" w:rsidR="00575ECE" w:rsidRPr="00194118" w:rsidRDefault="00A25E8A" w:rsidP="00194118">
    <w:pPr>
      <w:pStyle w:val="Header"/>
      <w:jc w:val="right"/>
      <w:rPr>
        <w:i/>
        <w:iCs/>
        <w:sz w:val="22"/>
        <w:szCs w:val="20"/>
        <w:lang w:val="en-US"/>
      </w:rPr>
    </w:pPr>
    <w:r w:rsidRPr="000031C9">
      <w:rPr>
        <w:i/>
        <w:iCs/>
        <w:sz w:val="22"/>
        <w:szCs w:val="20"/>
        <w:lang w:val="en-US"/>
      </w:rPr>
      <w:t xml:space="preserve"> </w:t>
    </w:r>
    <w:r w:rsidR="00E457CE">
      <w:rPr>
        <w:i/>
        <w:iCs/>
        <w:sz w:val="22"/>
        <w:szCs w:val="20"/>
        <w:lang w:val="en-US"/>
      </w:rPr>
      <w:t>11 March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19CE"/>
    <w:multiLevelType w:val="hybridMultilevel"/>
    <w:tmpl w:val="BDD6467A"/>
    <w:lvl w:ilvl="0" w:tplc="5CEAD9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4A62"/>
    <w:multiLevelType w:val="hybridMultilevel"/>
    <w:tmpl w:val="DABC0D78"/>
    <w:lvl w:ilvl="0" w:tplc="229AD7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B3477"/>
    <w:multiLevelType w:val="hybridMultilevel"/>
    <w:tmpl w:val="EEC250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62D2C"/>
    <w:multiLevelType w:val="hybridMultilevel"/>
    <w:tmpl w:val="6C6018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6385B"/>
    <w:multiLevelType w:val="hybridMultilevel"/>
    <w:tmpl w:val="4F1685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E17D6"/>
    <w:multiLevelType w:val="hybridMultilevel"/>
    <w:tmpl w:val="4EC2F6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21DC2"/>
    <w:multiLevelType w:val="hybridMultilevel"/>
    <w:tmpl w:val="BF9094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D3FE3"/>
    <w:multiLevelType w:val="hybridMultilevel"/>
    <w:tmpl w:val="77A47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B5EFD"/>
    <w:multiLevelType w:val="hybridMultilevel"/>
    <w:tmpl w:val="424EF692"/>
    <w:lvl w:ilvl="0" w:tplc="72325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5677"/>
    <w:multiLevelType w:val="hybridMultilevel"/>
    <w:tmpl w:val="AB485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D5D1D"/>
    <w:multiLevelType w:val="hybridMultilevel"/>
    <w:tmpl w:val="C70A88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E43A75"/>
    <w:multiLevelType w:val="hybridMultilevel"/>
    <w:tmpl w:val="CE46F1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AF2C5C"/>
    <w:multiLevelType w:val="hybridMultilevel"/>
    <w:tmpl w:val="FCF04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D6CC9"/>
    <w:multiLevelType w:val="hybridMultilevel"/>
    <w:tmpl w:val="78AC05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A85D87"/>
    <w:multiLevelType w:val="hybridMultilevel"/>
    <w:tmpl w:val="844AA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70A42"/>
    <w:multiLevelType w:val="hybridMultilevel"/>
    <w:tmpl w:val="2EA49C8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E58FB"/>
    <w:multiLevelType w:val="hybridMultilevel"/>
    <w:tmpl w:val="A25E8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B5299"/>
    <w:multiLevelType w:val="hybridMultilevel"/>
    <w:tmpl w:val="424EF692"/>
    <w:lvl w:ilvl="0" w:tplc="72325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D6746"/>
    <w:multiLevelType w:val="hybridMultilevel"/>
    <w:tmpl w:val="C010B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26F32"/>
    <w:multiLevelType w:val="hybridMultilevel"/>
    <w:tmpl w:val="CB12E616"/>
    <w:lvl w:ilvl="0" w:tplc="4484C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C0E5B"/>
    <w:multiLevelType w:val="hybridMultilevel"/>
    <w:tmpl w:val="BF0824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013AA1"/>
    <w:multiLevelType w:val="hybridMultilevel"/>
    <w:tmpl w:val="ED26547C"/>
    <w:lvl w:ilvl="0" w:tplc="1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1"/>
  </w:num>
  <w:num w:numId="5">
    <w:abstractNumId w:val="2"/>
  </w:num>
  <w:num w:numId="6">
    <w:abstractNumId w:val="3"/>
  </w:num>
  <w:num w:numId="7">
    <w:abstractNumId w:val="16"/>
  </w:num>
  <w:num w:numId="8">
    <w:abstractNumId w:val="5"/>
  </w:num>
  <w:num w:numId="9">
    <w:abstractNumId w:val="21"/>
  </w:num>
  <w:num w:numId="10">
    <w:abstractNumId w:val="4"/>
  </w:num>
  <w:num w:numId="11">
    <w:abstractNumId w:val="20"/>
  </w:num>
  <w:num w:numId="12">
    <w:abstractNumId w:val="13"/>
  </w:num>
  <w:num w:numId="13">
    <w:abstractNumId w:val="17"/>
  </w:num>
  <w:num w:numId="14">
    <w:abstractNumId w:val="15"/>
  </w:num>
  <w:num w:numId="15">
    <w:abstractNumId w:val="6"/>
  </w:num>
  <w:num w:numId="16">
    <w:abstractNumId w:val="8"/>
  </w:num>
  <w:num w:numId="17">
    <w:abstractNumId w:val="19"/>
  </w:num>
  <w:num w:numId="18">
    <w:abstractNumId w:val="1"/>
  </w:num>
  <w:num w:numId="19">
    <w:abstractNumId w:val="7"/>
  </w:num>
  <w:num w:numId="20">
    <w:abstractNumId w:val="10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17"/>
    <w:rsid w:val="00002BE0"/>
    <w:rsid w:val="000031C9"/>
    <w:rsid w:val="00014A7B"/>
    <w:rsid w:val="00022552"/>
    <w:rsid w:val="000232A3"/>
    <w:rsid w:val="000261D2"/>
    <w:rsid w:val="000349C5"/>
    <w:rsid w:val="00042F5F"/>
    <w:rsid w:val="000607AD"/>
    <w:rsid w:val="0006418E"/>
    <w:rsid w:val="00066C14"/>
    <w:rsid w:val="000742A1"/>
    <w:rsid w:val="00077CD4"/>
    <w:rsid w:val="00085F80"/>
    <w:rsid w:val="000A0119"/>
    <w:rsid w:val="000A273E"/>
    <w:rsid w:val="000A6840"/>
    <w:rsid w:val="000A6AF0"/>
    <w:rsid w:val="000A7555"/>
    <w:rsid w:val="000B0EE7"/>
    <w:rsid w:val="000B4C24"/>
    <w:rsid w:val="000B799C"/>
    <w:rsid w:val="000D52B1"/>
    <w:rsid w:val="000D7C58"/>
    <w:rsid w:val="000E4A36"/>
    <w:rsid w:val="000E4BCA"/>
    <w:rsid w:val="000E6ADC"/>
    <w:rsid w:val="000F0E23"/>
    <w:rsid w:val="000F29DA"/>
    <w:rsid w:val="000F5568"/>
    <w:rsid w:val="001038E4"/>
    <w:rsid w:val="001236D5"/>
    <w:rsid w:val="00127B68"/>
    <w:rsid w:val="001317B7"/>
    <w:rsid w:val="00135D65"/>
    <w:rsid w:val="00143076"/>
    <w:rsid w:val="00154608"/>
    <w:rsid w:val="001570B5"/>
    <w:rsid w:val="00157236"/>
    <w:rsid w:val="00171A32"/>
    <w:rsid w:val="001819B1"/>
    <w:rsid w:val="00185681"/>
    <w:rsid w:val="00194118"/>
    <w:rsid w:val="00195AD4"/>
    <w:rsid w:val="001A6E1A"/>
    <w:rsid w:val="001B4527"/>
    <w:rsid w:val="001C37B4"/>
    <w:rsid w:val="001C41D7"/>
    <w:rsid w:val="001D1B8C"/>
    <w:rsid w:val="001E3289"/>
    <w:rsid w:val="001E369B"/>
    <w:rsid w:val="001F129E"/>
    <w:rsid w:val="001F44A3"/>
    <w:rsid w:val="001F659F"/>
    <w:rsid w:val="0020435E"/>
    <w:rsid w:val="0022345F"/>
    <w:rsid w:val="00225BE4"/>
    <w:rsid w:val="00231C15"/>
    <w:rsid w:val="00250872"/>
    <w:rsid w:val="00256B41"/>
    <w:rsid w:val="002900CA"/>
    <w:rsid w:val="002A0D54"/>
    <w:rsid w:val="002A3434"/>
    <w:rsid w:val="002A5472"/>
    <w:rsid w:val="002B375F"/>
    <w:rsid w:val="002C4FD8"/>
    <w:rsid w:val="002C7AB6"/>
    <w:rsid w:val="002D7108"/>
    <w:rsid w:val="002E6FF6"/>
    <w:rsid w:val="002F05AD"/>
    <w:rsid w:val="00303274"/>
    <w:rsid w:val="0030764D"/>
    <w:rsid w:val="00312BAB"/>
    <w:rsid w:val="00317F1F"/>
    <w:rsid w:val="00320C79"/>
    <w:rsid w:val="003232AC"/>
    <w:rsid w:val="00326CEC"/>
    <w:rsid w:val="0033181D"/>
    <w:rsid w:val="003404B4"/>
    <w:rsid w:val="003417E1"/>
    <w:rsid w:val="0034180B"/>
    <w:rsid w:val="00343394"/>
    <w:rsid w:val="00354059"/>
    <w:rsid w:val="00357CF0"/>
    <w:rsid w:val="00360AB0"/>
    <w:rsid w:val="0036413B"/>
    <w:rsid w:val="003649AC"/>
    <w:rsid w:val="00364ECB"/>
    <w:rsid w:val="003831C9"/>
    <w:rsid w:val="003952D9"/>
    <w:rsid w:val="003C50AE"/>
    <w:rsid w:val="003D1548"/>
    <w:rsid w:val="003D629C"/>
    <w:rsid w:val="003E4DE5"/>
    <w:rsid w:val="00404C1A"/>
    <w:rsid w:val="0041209B"/>
    <w:rsid w:val="00412752"/>
    <w:rsid w:val="004149CD"/>
    <w:rsid w:val="004347F5"/>
    <w:rsid w:val="00445683"/>
    <w:rsid w:val="0045124F"/>
    <w:rsid w:val="00457584"/>
    <w:rsid w:val="0046693F"/>
    <w:rsid w:val="00481FF8"/>
    <w:rsid w:val="004821E2"/>
    <w:rsid w:val="00487378"/>
    <w:rsid w:val="004A0F3A"/>
    <w:rsid w:val="004A2238"/>
    <w:rsid w:val="004A380A"/>
    <w:rsid w:val="004A392D"/>
    <w:rsid w:val="004B347D"/>
    <w:rsid w:val="004B503C"/>
    <w:rsid w:val="004B64B9"/>
    <w:rsid w:val="004B69F7"/>
    <w:rsid w:val="004C70F4"/>
    <w:rsid w:val="004D22D3"/>
    <w:rsid w:val="004D3011"/>
    <w:rsid w:val="004D61FA"/>
    <w:rsid w:val="004E57DB"/>
    <w:rsid w:val="004E5A40"/>
    <w:rsid w:val="004F14F7"/>
    <w:rsid w:val="004F1B03"/>
    <w:rsid w:val="004F20C3"/>
    <w:rsid w:val="004F5877"/>
    <w:rsid w:val="004F5B8F"/>
    <w:rsid w:val="004F60A8"/>
    <w:rsid w:val="004F6817"/>
    <w:rsid w:val="005070E3"/>
    <w:rsid w:val="00510F5A"/>
    <w:rsid w:val="005277EF"/>
    <w:rsid w:val="005438D2"/>
    <w:rsid w:val="00543CED"/>
    <w:rsid w:val="00546770"/>
    <w:rsid w:val="00546CC9"/>
    <w:rsid w:val="0055061A"/>
    <w:rsid w:val="00564E9E"/>
    <w:rsid w:val="00566F6D"/>
    <w:rsid w:val="005726E6"/>
    <w:rsid w:val="005753B4"/>
    <w:rsid w:val="00575ECE"/>
    <w:rsid w:val="0057735C"/>
    <w:rsid w:val="005A297D"/>
    <w:rsid w:val="005A73A7"/>
    <w:rsid w:val="005B3704"/>
    <w:rsid w:val="005B45AB"/>
    <w:rsid w:val="005C1294"/>
    <w:rsid w:val="005C3AC9"/>
    <w:rsid w:val="005F1613"/>
    <w:rsid w:val="005F638B"/>
    <w:rsid w:val="006064BD"/>
    <w:rsid w:val="00606640"/>
    <w:rsid w:val="00613FC3"/>
    <w:rsid w:val="00614E4E"/>
    <w:rsid w:val="00624B02"/>
    <w:rsid w:val="006264B7"/>
    <w:rsid w:val="0065056D"/>
    <w:rsid w:val="00650E04"/>
    <w:rsid w:val="006608D9"/>
    <w:rsid w:val="0066160C"/>
    <w:rsid w:val="006654C7"/>
    <w:rsid w:val="00673992"/>
    <w:rsid w:val="00684F75"/>
    <w:rsid w:val="0068538C"/>
    <w:rsid w:val="0069543A"/>
    <w:rsid w:val="00695E04"/>
    <w:rsid w:val="00696226"/>
    <w:rsid w:val="006C5458"/>
    <w:rsid w:val="006C7751"/>
    <w:rsid w:val="006C783E"/>
    <w:rsid w:val="006D0761"/>
    <w:rsid w:val="006D72AA"/>
    <w:rsid w:val="006E761B"/>
    <w:rsid w:val="006F603C"/>
    <w:rsid w:val="00700701"/>
    <w:rsid w:val="0070209B"/>
    <w:rsid w:val="00702B4E"/>
    <w:rsid w:val="00720D32"/>
    <w:rsid w:val="00747777"/>
    <w:rsid w:val="0075171A"/>
    <w:rsid w:val="007549C1"/>
    <w:rsid w:val="00760A34"/>
    <w:rsid w:val="00765FE5"/>
    <w:rsid w:val="00767151"/>
    <w:rsid w:val="007707B1"/>
    <w:rsid w:val="00783AB4"/>
    <w:rsid w:val="00794C32"/>
    <w:rsid w:val="007B74B0"/>
    <w:rsid w:val="007C08E8"/>
    <w:rsid w:val="007D6DDD"/>
    <w:rsid w:val="007E3EFD"/>
    <w:rsid w:val="007E4137"/>
    <w:rsid w:val="007F5055"/>
    <w:rsid w:val="007F511B"/>
    <w:rsid w:val="007F5225"/>
    <w:rsid w:val="008048CA"/>
    <w:rsid w:val="008134BD"/>
    <w:rsid w:val="0081599F"/>
    <w:rsid w:val="00820796"/>
    <w:rsid w:val="00831E76"/>
    <w:rsid w:val="008353DC"/>
    <w:rsid w:val="008357C5"/>
    <w:rsid w:val="00836D44"/>
    <w:rsid w:val="008507AA"/>
    <w:rsid w:val="00850D63"/>
    <w:rsid w:val="00861A22"/>
    <w:rsid w:val="008A07F4"/>
    <w:rsid w:val="008A38F0"/>
    <w:rsid w:val="008A560F"/>
    <w:rsid w:val="008B41D2"/>
    <w:rsid w:val="008D2591"/>
    <w:rsid w:val="008D662A"/>
    <w:rsid w:val="008E07F2"/>
    <w:rsid w:val="008E12C2"/>
    <w:rsid w:val="008E39E5"/>
    <w:rsid w:val="008E6119"/>
    <w:rsid w:val="008F46DB"/>
    <w:rsid w:val="009040E5"/>
    <w:rsid w:val="009150E1"/>
    <w:rsid w:val="009261AA"/>
    <w:rsid w:val="00962FB5"/>
    <w:rsid w:val="009654E3"/>
    <w:rsid w:val="00966433"/>
    <w:rsid w:val="00973AB0"/>
    <w:rsid w:val="00976E13"/>
    <w:rsid w:val="009807F6"/>
    <w:rsid w:val="00980BC7"/>
    <w:rsid w:val="009836C7"/>
    <w:rsid w:val="009912FD"/>
    <w:rsid w:val="00991944"/>
    <w:rsid w:val="0099258C"/>
    <w:rsid w:val="00992917"/>
    <w:rsid w:val="009B1D63"/>
    <w:rsid w:val="009B515D"/>
    <w:rsid w:val="009B65DE"/>
    <w:rsid w:val="009C0D17"/>
    <w:rsid w:val="009C1A87"/>
    <w:rsid w:val="009C6C3A"/>
    <w:rsid w:val="009D4F7E"/>
    <w:rsid w:val="009D5EA1"/>
    <w:rsid w:val="009D730A"/>
    <w:rsid w:val="009E4A07"/>
    <w:rsid w:val="00A03A46"/>
    <w:rsid w:val="00A20413"/>
    <w:rsid w:val="00A25E8A"/>
    <w:rsid w:val="00A26AED"/>
    <w:rsid w:val="00A33062"/>
    <w:rsid w:val="00A345B0"/>
    <w:rsid w:val="00A378BA"/>
    <w:rsid w:val="00A4736E"/>
    <w:rsid w:val="00A527A7"/>
    <w:rsid w:val="00A531DC"/>
    <w:rsid w:val="00A62FB9"/>
    <w:rsid w:val="00A63F48"/>
    <w:rsid w:val="00A6738B"/>
    <w:rsid w:val="00A763A1"/>
    <w:rsid w:val="00A81CF2"/>
    <w:rsid w:val="00A856E4"/>
    <w:rsid w:val="00A86D81"/>
    <w:rsid w:val="00A963FC"/>
    <w:rsid w:val="00AA118C"/>
    <w:rsid w:val="00AA5F36"/>
    <w:rsid w:val="00AB30B6"/>
    <w:rsid w:val="00AB389D"/>
    <w:rsid w:val="00AC49D8"/>
    <w:rsid w:val="00AC67FD"/>
    <w:rsid w:val="00AD71CE"/>
    <w:rsid w:val="00AE6895"/>
    <w:rsid w:val="00AF2EB4"/>
    <w:rsid w:val="00B062FF"/>
    <w:rsid w:val="00B127C5"/>
    <w:rsid w:val="00B1499C"/>
    <w:rsid w:val="00B16BD5"/>
    <w:rsid w:val="00B45562"/>
    <w:rsid w:val="00B60351"/>
    <w:rsid w:val="00B605EA"/>
    <w:rsid w:val="00B62EB2"/>
    <w:rsid w:val="00B71E03"/>
    <w:rsid w:val="00B757A5"/>
    <w:rsid w:val="00B8381C"/>
    <w:rsid w:val="00B9273F"/>
    <w:rsid w:val="00B93223"/>
    <w:rsid w:val="00B953C6"/>
    <w:rsid w:val="00BD61F6"/>
    <w:rsid w:val="00C02527"/>
    <w:rsid w:val="00C029AC"/>
    <w:rsid w:val="00C06F32"/>
    <w:rsid w:val="00C145D0"/>
    <w:rsid w:val="00C30DE0"/>
    <w:rsid w:val="00C32689"/>
    <w:rsid w:val="00C442F5"/>
    <w:rsid w:val="00C4453E"/>
    <w:rsid w:val="00C74B53"/>
    <w:rsid w:val="00C87059"/>
    <w:rsid w:val="00C93AB7"/>
    <w:rsid w:val="00CA0145"/>
    <w:rsid w:val="00CA137E"/>
    <w:rsid w:val="00CA5ACB"/>
    <w:rsid w:val="00CB5CE9"/>
    <w:rsid w:val="00CC034D"/>
    <w:rsid w:val="00CD3DF3"/>
    <w:rsid w:val="00CE04B4"/>
    <w:rsid w:val="00CE0C8C"/>
    <w:rsid w:val="00D00B12"/>
    <w:rsid w:val="00D13C56"/>
    <w:rsid w:val="00D14CA0"/>
    <w:rsid w:val="00D15F0D"/>
    <w:rsid w:val="00D2225F"/>
    <w:rsid w:val="00D22582"/>
    <w:rsid w:val="00D3561D"/>
    <w:rsid w:val="00D466AE"/>
    <w:rsid w:val="00D531C6"/>
    <w:rsid w:val="00D83F89"/>
    <w:rsid w:val="00D95F3F"/>
    <w:rsid w:val="00DA5969"/>
    <w:rsid w:val="00DA61F4"/>
    <w:rsid w:val="00DC3C18"/>
    <w:rsid w:val="00DC74A8"/>
    <w:rsid w:val="00DD381F"/>
    <w:rsid w:val="00E01477"/>
    <w:rsid w:val="00E0604F"/>
    <w:rsid w:val="00E11FCC"/>
    <w:rsid w:val="00E42901"/>
    <w:rsid w:val="00E457CE"/>
    <w:rsid w:val="00E45DD5"/>
    <w:rsid w:val="00E5556A"/>
    <w:rsid w:val="00E5630E"/>
    <w:rsid w:val="00E71A09"/>
    <w:rsid w:val="00E77C67"/>
    <w:rsid w:val="00E80BCA"/>
    <w:rsid w:val="00E8293D"/>
    <w:rsid w:val="00E923C7"/>
    <w:rsid w:val="00E948D0"/>
    <w:rsid w:val="00E9742C"/>
    <w:rsid w:val="00EA3271"/>
    <w:rsid w:val="00EB35FC"/>
    <w:rsid w:val="00EB5934"/>
    <w:rsid w:val="00EC6334"/>
    <w:rsid w:val="00ED0402"/>
    <w:rsid w:val="00F03B86"/>
    <w:rsid w:val="00F049EC"/>
    <w:rsid w:val="00F07AB1"/>
    <w:rsid w:val="00F1411E"/>
    <w:rsid w:val="00F14722"/>
    <w:rsid w:val="00F17B57"/>
    <w:rsid w:val="00F20B38"/>
    <w:rsid w:val="00F20F40"/>
    <w:rsid w:val="00F26BAD"/>
    <w:rsid w:val="00F543F4"/>
    <w:rsid w:val="00F61F85"/>
    <w:rsid w:val="00F632BF"/>
    <w:rsid w:val="00F72078"/>
    <w:rsid w:val="00F85186"/>
    <w:rsid w:val="00FA62DB"/>
    <w:rsid w:val="00FB11EB"/>
    <w:rsid w:val="00FB32C9"/>
    <w:rsid w:val="00FC4E30"/>
    <w:rsid w:val="00FD02B5"/>
    <w:rsid w:val="00FD5313"/>
    <w:rsid w:val="00FE079B"/>
    <w:rsid w:val="00FE363E"/>
    <w:rsid w:val="00FE7726"/>
    <w:rsid w:val="00FF2BD2"/>
    <w:rsid w:val="00FF2C52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299AB7"/>
  <w15:chartTrackingRefBased/>
  <w15:docId w15:val="{CFB699BA-E37B-4649-AFF3-94A329C7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1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8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56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A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A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A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0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3A12-5A89-4522-BCF7-B052D0C8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Elizabeth A. (JUD)</dc:creator>
  <cp:keywords/>
  <dc:description/>
  <cp:lastModifiedBy>katierobinette@hotmail.com</cp:lastModifiedBy>
  <cp:revision>2</cp:revision>
  <cp:lastPrinted>2022-02-23T18:51:00Z</cp:lastPrinted>
  <dcterms:created xsi:type="dcterms:W3CDTF">2022-03-11T21:56:00Z</dcterms:created>
  <dcterms:modified xsi:type="dcterms:W3CDTF">2022-03-11T21:56:00Z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2022-02-15T16:47:00Z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6965ee76-b6ea-4f0a-941e-2751ae43f52b</vt:lpwstr>
  </property>
  <property fmtid="{D5CDD505-2E9C-101B-9397-08002B2CF9AE}" pid="8" name="MSIP_Label_034a106e-6316-442c-ad35-738afd673d2b_ContentBits">
    <vt:lpwstr>0</vt:lpwstr>
  </property>
</Properties>
</file>